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8B11B" w14:textId="0DAA5AF5" w:rsidR="002A7652" w:rsidRPr="002A7652" w:rsidRDefault="002A7652" w:rsidP="002A7652">
      <w:r w:rsidRPr="002A7652">
        <w:rPr>
          <w:noProof/>
          <w:lang w:eastAsia="pl-PL"/>
        </w:rPr>
        <w:drawing>
          <wp:inline distT="0" distB="0" distL="0" distR="0" wp14:anchorId="6FC6A03C" wp14:editId="58273E26">
            <wp:extent cx="2461846" cy="6832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0658" cy="82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765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                                               </w:t>
      </w:r>
      <w:r w:rsidRPr="002A7652">
        <w:t>TOPOLOWA MEDICENTER</w:t>
      </w:r>
    </w:p>
    <w:p w14:paraId="3E9EFF8C" w14:textId="77777777" w:rsidR="002A7652" w:rsidRPr="002A7652" w:rsidRDefault="002A7652" w:rsidP="002A7652">
      <w:pPr>
        <w:jc w:val="right"/>
      </w:pPr>
      <w:r w:rsidRPr="002A7652">
        <w:t>31-506 Kraków, ul. Topolowa 33/4</w:t>
      </w:r>
    </w:p>
    <w:p w14:paraId="74BE742D" w14:textId="77777777" w:rsidR="002A7652" w:rsidRPr="002A7652" w:rsidRDefault="002A7652" w:rsidP="002A7652">
      <w:pPr>
        <w:jc w:val="right"/>
        <w:rPr>
          <w:b/>
        </w:rPr>
      </w:pPr>
      <w:r w:rsidRPr="002A7652">
        <w:t xml:space="preserve"> tel. 123 524 524 lub </w:t>
      </w:r>
      <w:r w:rsidRPr="002A7652">
        <w:rPr>
          <w:rFonts w:eastAsia="Times New Roman"/>
          <w:color w:val="000000"/>
        </w:rPr>
        <w:t>511 675 481</w:t>
      </w:r>
      <w:r w:rsidRPr="002A7652">
        <w:rPr>
          <w:rFonts w:eastAsia="Times New Roman"/>
          <w:b/>
          <w:color w:val="000000"/>
        </w:rPr>
        <w:t xml:space="preserve"> </w:t>
      </w:r>
    </w:p>
    <w:p w14:paraId="2569DDF9" w14:textId="375D65D0" w:rsidR="002A7652" w:rsidRPr="002A7652" w:rsidRDefault="002A7652" w:rsidP="002A7652">
      <w:pPr>
        <w:jc w:val="right"/>
        <w:rPr>
          <w:b/>
          <w:color w:val="008F50"/>
        </w:rPr>
      </w:pPr>
      <w:hyperlink r:id="rId6" w:history="1">
        <w:r w:rsidRPr="002A7652">
          <w:rPr>
            <w:rStyle w:val="Hipercze"/>
            <w:rFonts w:ascii="Calibri" w:hAnsi="Calibri" w:cs="Calibri"/>
            <w:color w:val="008F50"/>
          </w:rPr>
          <w:t>www.tmedicenter.com</w:t>
        </w:r>
      </w:hyperlink>
      <w:r w:rsidRPr="002A7652">
        <w:rPr>
          <w:b/>
          <w:color w:val="008F50"/>
        </w:rPr>
        <w:t xml:space="preserve"> </w:t>
      </w:r>
    </w:p>
    <w:p w14:paraId="7985F3AB" w14:textId="418C6504" w:rsidR="00FF7306" w:rsidRPr="002A7652" w:rsidRDefault="00FF7306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FORMULARZ ZGDY PACJ</w:t>
      </w:r>
      <w:r w:rsidR="002A7652">
        <w:rPr>
          <w:rFonts w:asciiTheme="minorHAnsi" w:hAnsiTheme="minorHAnsi" w:cstheme="minorHAnsi"/>
          <w:b/>
          <w:bCs/>
          <w:lang w:eastAsia="pl-PL"/>
        </w:rPr>
        <w:t>E</w:t>
      </w:r>
      <w:r w:rsidRPr="002A7652">
        <w:rPr>
          <w:rFonts w:asciiTheme="minorHAnsi" w:hAnsiTheme="minorHAnsi" w:cstheme="minorHAnsi"/>
          <w:b/>
          <w:bCs/>
          <w:lang w:eastAsia="pl-PL"/>
        </w:rPr>
        <w:t xml:space="preserve">NTA NA WYKONANIE </w:t>
      </w:r>
    </w:p>
    <w:p w14:paraId="22E1DCD6" w14:textId="77777777" w:rsidR="00FF7306" w:rsidRPr="002A7652" w:rsidRDefault="00FF7306">
      <w:pPr>
        <w:jc w:val="center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GASTROSKOPII</w:t>
      </w:r>
    </w:p>
    <w:p w14:paraId="78E19BC6" w14:textId="77777777" w:rsidR="002A7652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</w:rPr>
        <w:t>Przygotowanie:</w:t>
      </w:r>
      <w:r w:rsidRPr="002A7652">
        <w:rPr>
          <w:rFonts w:asciiTheme="minorHAnsi" w:hAnsiTheme="minorHAnsi" w:cstheme="minorHAnsi"/>
        </w:rPr>
        <w:t xml:space="preserve"> Przed gastroskopią, chory nie powinien nic jeść przez co najmniej 6 godzin i nie pić minimum 3 godziny. Dzięki temu badany odcinek przewodu pokarmowego będzie wolny od resztek jedzenia co zapewni bezpieczne i dokładne badanie. Ze względów bezpieczeństwa pacjenta, bezpośrednio przed badaniem należy usunąć wszelkie ruchome protezy zębowe i zdjąć okulary.</w:t>
      </w:r>
    </w:p>
    <w:p w14:paraId="2F4325BA" w14:textId="0221FA50" w:rsidR="00FF7306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</w:rPr>
        <w:br/>
      </w:r>
      <w:r w:rsidRPr="002A7652">
        <w:rPr>
          <w:rFonts w:asciiTheme="minorHAnsi" w:hAnsiTheme="minorHAnsi" w:cstheme="minorHAnsi"/>
          <w:b/>
          <w:bCs/>
        </w:rPr>
        <w:t>Przebieg badania:</w:t>
      </w:r>
      <w:r w:rsidRPr="002A7652">
        <w:rPr>
          <w:rFonts w:asciiTheme="minorHAnsi" w:hAnsiTheme="minorHAnsi" w:cstheme="minorHAnsi"/>
        </w:rPr>
        <w:t xml:space="preserve"> Badanie jest wykonywane w pozycji leżącej na lewym boku. W trakcie całego badania pacjent trzyma w ustach specjalny ustnik, przez który jest wprowadzany endoskop. Jeżeli badanie wykonywane jest w znieczuleniu miejscowym, bezpośrednio przed rozpoczęciem gardło zostaje znieczulone roztworem </w:t>
      </w:r>
      <w:proofErr w:type="spellStart"/>
      <w:r w:rsidRPr="002A7652">
        <w:rPr>
          <w:rFonts w:asciiTheme="minorHAnsi" w:hAnsiTheme="minorHAnsi" w:cstheme="minorHAnsi"/>
        </w:rPr>
        <w:t>lignokainy</w:t>
      </w:r>
      <w:proofErr w:type="spellEnd"/>
      <w:r w:rsidRPr="002A7652">
        <w:rPr>
          <w:rFonts w:asciiTheme="minorHAnsi" w:hAnsiTheme="minorHAnsi" w:cstheme="minorHAnsi"/>
        </w:rPr>
        <w:t xml:space="preserve"> Powoduje to zniesienie nieprzyjemnych odruchów. </w:t>
      </w:r>
      <w:r w:rsidRPr="002A7652">
        <w:rPr>
          <w:rFonts w:asciiTheme="minorHAnsi" w:hAnsiTheme="minorHAnsi" w:cstheme="minorHAnsi"/>
        </w:rPr>
        <w:br/>
        <w:t>W trakcie całego badania pacjent powinien głęboko spokojnie oddychać powstrzymując się od połykania śliny. Dzięki temu badanie przebiega bezboleśnie a pacjent odczuwa jedynie uczucie wzdęcia spowodowane powietrzem wdmuchiwanym do żołądka.</w:t>
      </w:r>
    </w:p>
    <w:p w14:paraId="6C8C7A72" w14:textId="77777777" w:rsidR="002A7652" w:rsidRPr="002A7652" w:rsidRDefault="002A7652">
      <w:pPr>
        <w:jc w:val="both"/>
        <w:rPr>
          <w:rFonts w:asciiTheme="minorHAnsi" w:hAnsiTheme="minorHAnsi" w:cstheme="minorHAnsi"/>
        </w:rPr>
      </w:pPr>
    </w:p>
    <w:p w14:paraId="3E0B1701" w14:textId="644247C6" w:rsidR="00FF7306" w:rsidRDefault="00FF7306">
      <w:pPr>
        <w:jc w:val="both"/>
        <w:rPr>
          <w:rFonts w:asciiTheme="minorHAnsi" w:hAnsiTheme="minorHAnsi" w:cstheme="minorHAnsi"/>
        </w:rPr>
      </w:pPr>
      <w:r w:rsidRPr="002A7652">
        <w:rPr>
          <w:rFonts w:asciiTheme="minorHAnsi" w:hAnsiTheme="minorHAnsi" w:cstheme="minorHAnsi"/>
          <w:b/>
          <w:bCs/>
        </w:rPr>
        <w:t>Po badaniu:</w:t>
      </w:r>
      <w:r w:rsidRPr="002A7652">
        <w:rPr>
          <w:rFonts w:asciiTheme="minorHAnsi" w:hAnsiTheme="minorHAnsi" w:cstheme="minorHAnsi"/>
        </w:rPr>
        <w:t xml:space="preserve"> Po gastroskopii przez krótki czas może pozostać dyskomfort w gardle, który ustępuje samoistnie. Uczucie wzdęcia spowodowane powietrzem w żołądku również ustępuje w przeciągu kilku godzin. Po ustąpieniu znieczulenia pacjent może normalnie przyjmować posiłki i wrócić do zwykłej aktywności. Jeżeli badanie przeprowadzone było w znieczuleniu dożylnym, obowiązuje Pacjenta 24-godzinny bezwzględny zakaz prowadzenia pojazdów i obsługiwanie urządzeń mechanicznych, picia alkoholu, podejmowania ważnych życiowo decyzji, podpisywania dokumentów i innych czynności wymagających pełnej sprawności psychofizycznej, a powrót do domu powinien odbywać się pod opieką osoby towarzyszącej.</w:t>
      </w:r>
    </w:p>
    <w:p w14:paraId="5DC8581C" w14:textId="77777777" w:rsidR="002A7652" w:rsidRPr="002A7652" w:rsidRDefault="002A7652">
      <w:pPr>
        <w:jc w:val="both"/>
        <w:rPr>
          <w:rFonts w:asciiTheme="minorHAnsi" w:hAnsiTheme="minorHAnsi" w:cstheme="minorHAnsi"/>
        </w:rPr>
      </w:pPr>
    </w:p>
    <w:p w14:paraId="4A7E5150" w14:textId="77777777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b/>
          <w:bCs/>
        </w:rPr>
        <w:t>Możliwe powikłania:</w:t>
      </w:r>
      <w:r w:rsidRPr="002A7652">
        <w:rPr>
          <w:rFonts w:asciiTheme="minorHAnsi" w:hAnsiTheme="minorHAnsi" w:cstheme="minorHAnsi"/>
        </w:rPr>
        <w:t xml:space="preserve"> Powikłania po gastroskopii zdarzają się wyjątkowo rzadko (ok. 0,08%) i najczęściej ustępują samoistnie nie wymagając żadnego leczenia. Zaliczamy do nich również: - krwawienie ( występujące w 0,1%, czyli 1 na tysiąc gastroskopii) – oraz perforację przedziurawienie przewodu pokarmowego ( mniej niż 0,03%- 1 na 3000 gastroskopii). Inne rzadkie powikłania to reakcja alergiczna na leki, </w:t>
      </w:r>
      <w:r w:rsidRPr="002A7652">
        <w:rPr>
          <w:rFonts w:asciiTheme="minorHAnsi" w:hAnsiTheme="minorHAnsi" w:cstheme="minorHAnsi"/>
          <w:lang w:eastAsia="pl-PL"/>
        </w:rPr>
        <w:t>zaostrzenie choroby wieńcowej, zaburzenia rytmu serca, atak astmy oskrzelowej lub padaczki, a nawet zatrzymanie akcji serca.</w:t>
      </w:r>
      <w:r w:rsidRPr="002A7652">
        <w:rPr>
          <w:rFonts w:asciiTheme="minorHAnsi" w:hAnsiTheme="minorHAnsi" w:cstheme="minorHAnsi"/>
        </w:rPr>
        <w:t xml:space="preserve"> Powikłaniem założenia </w:t>
      </w:r>
      <w:proofErr w:type="spellStart"/>
      <w:r w:rsidRPr="002A7652">
        <w:rPr>
          <w:rFonts w:asciiTheme="minorHAnsi" w:hAnsiTheme="minorHAnsi" w:cstheme="minorHAnsi"/>
        </w:rPr>
        <w:t>wenflonu</w:t>
      </w:r>
      <w:proofErr w:type="spellEnd"/>
      <w:r w:rsidRPr="002A7652">
        <w:rPr>
          <w:rFonts w:asciiTheme="minorHAnsi" w:hAnsiTheme="minorHAnsi" w:cstheme="minorHAnsi"/>
        </w:rPr>
        <w:t xml:space="preserve"> do żyły może być krwiak lub przejściowy ból w miejscu wkłucia. Zakażenia wirusami HIV, HCV, HBV oraz inne istotne zakażenia nie powinny wystąpić w przypadku prawidłowo dezynfekowanego endoskopu.</w:t>
      </w:r>
    </w:p>
    <w:p w14:paraId="6A6848EC" w14:textId="4C4C8B4E" w:rsidR="00FF7306" w:rsidRPr="002A7652" w:rsidRDefault="002A7652" w:rsidP="002A765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ab/>
      </w:r>
      <w:r w:rsidR="00FF7306" w:rsidRPr="002A7652">
        <w:rPr>
          <w:rFonts w:asciiTheme="minorHAnsi" w:hAnsiTheme="minorHAnsi" w:cstheme="minorHAnsi"/>
        </w:rPr>
        <w:t>Jeżeli kilka godzin po badaniu utrzymują się silne dolegliwości bólowe brzucha, bóle nasilają się, obwód brzucha narasta, pojawiła się gorączka, dreszcze, wymioty lub smolisty (czarny) stolec, należy pilnie skontaktować się z lekarzem.</w:t>
      </w:r>
    </w:p>
    <w:p w14:paraId="48788DB4" w14:textId="77777777" w:rsidR="002A7652" w:rsidRDefault="002A7652" w:rsidP="002A7652">
      <w:pPr>
        <w:ind w:firstLine="708"/>
        <w:rPr>
          <w:rFonts w:asciiTheme="minorHAnsi" w:hAnsiTheme="minorHAnsi" w:cstheme="minorHAnsi"/>
          <w:b/>
          <w:bCs/>
        </w:rPr>
      </w:pPr>
    </w:p>
    <w:p w14:paraId="2EACF1D6" w14:textId="1517ADF0" w:rsidR="002A7652" w:rsidRPr="002A7652" w:rsidRDefault="00FF7306" w:rsidP="002A7652">
      <w:pPr>
        <w:ind w:firstLine="708"/>
        <w:rPr>
          <w:rFonts w:asciiTheme="minorHAnsi" w:hAnsiTheme="minorHAnsi" w:cstheme="minorHAnsi"/>
          <w:b/>
          <w:bCs/>
        </w:rPr>
      </w:pPr>
      <w:r w:rsidRPr="002A7652">
        <w:rPr>
          <w:rFonts w:asciiTheme="minorHAnsi" w:hAnsiTheme="minorHAnsi" w:cstheme="minorHAnsi"/>
          <w:b/>
          <w:bCs/>
        </w:rPr>
        <w:t>JEŻELI PRZEDSTAWIONE WYŻEJ INFORMACJE SĄ DLA PANI/PANA NIEWYSTARCZAJĄCE PROSIMY O ZADAWANIE PYTAŃ LEKARZOWI PRZED ROZPOCZĘCIEM BADANI</w:t>
      </w:r>
    </w:p>
    <w:p w14:paraId="77F5EE56" w14:textId="561D2691" w:rsidR="00FF7306" w:rsidRPr="002A7652" w:rsidRDefault="00FF7306" w:rsidP="002A7652">
      <w:pPr>
        <w:ind w:firstLine="708"/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lastRenderedPageBreak/>
        <w:t xml:space="preserve">Celem ograniczenia do minimum niebezpieczeństwa krwawienia oraz zmniejszenia ryzyka związanego z podawaniem środków znieczulających prosimy o odpowiedź na następujące pytania poprzez </w:t>
      </w:r>
      <w:r w:rsidRPr="002A7652">
        <w:rPr>
          <w:rFonts w:asciiTheme="minorHAnsi" w:hAnsiTheme="minorHAnsi" w:cstheme="minorHAnsi"/>
          <w:b/>
          <w:bCs/>
          <w:lang w:eastAsia="pl-PL"/>
        </w:rPr>
        <w:t>zakreślenie właściwej odpowiedzi</w:t>
      </w:r>
      <w:r w:rsidRPr="002A7652">
        <w:rPr>
          <w:rFonts w:asciiTheme="minorHAnsi" w:hAnsiTheme="minorHAnsi" w:cstheme="minorHAnsi"/>
          <w:lang w:eastAsia="pl-PL"/>
        </w:rPr>
        <w:t xml:space="preserve">: </w:t>
      </w:r>
    </w:p>
    <w:tbl>
      <w:tblPr>
        <w:tblW w:w="97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0"/>
        <w:gridCol w:w="2126"/>
      </w:tblGrid>
      <w:tr w:rsidR="00FF7306" w:rsidRPr="002A7652" w14:paraId="4A8FF305" w14:textId="77777777">
        <w:tc>
          <w:tcPr>
            <w:tcW w:w="7650" w:type="dxa"/>
          </w:tcPr>
          <w:p w14:paraId="30C5412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1.Czy istnieje u Pani/Pana zwiększona skłonność do krwawień, szczególnie po drobnych skaleczeniach, po usunięciu zębów bądź skłonność do powstawania sińców po niewielkich urazach mechanicznych? </w:t>
            </w:r>
          </w:p>
        </w:tc>
        <w:tc>
          <w:tcPr>
            <w:tcW w:w="2126" w:type="dxa"/>
          </w:tcPr>
          <w:p w14:paraId="1A61E611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38C3CCAE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</w:tc>
      </w:tr>
      <w:tr w:rsidR="00FF7306" w:rsidRPr="002A7652" w14:paraId="79BF0B8B" w14:textId="77777777">
        <w:tc>
          <w:tcPr>
            <w:tcW w:w="7650" w:type="dxa"/>
          </w:tcPr>
          <w:p w14:paraId="0F6AEF6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2. Czy występowały u Pani/Pana uczulenia na środki lecznicze lub znieczulające?</w:t>
            </w:r>
          </w:p>
        </w:tc>
        <w:tc>
          <w:tcPr>
            <w:tcW w:w="2126" w:type="dxa"/>
          </w:tcPr>
          <w:p w14:paraId="1A22753E" w14:textId="74FF20D5" w:rsidR="00FF7306" w:rsidRPr="002A7652" w:rsidRDefault="002A7652" w:rsidP="002A7652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       </w:t>
            </w:r>
            <w:r w:rsidR="00FF7306"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36F896D4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FF7306" w:rsidRPr="002A7652" w14:paraId="1C79970B" w14:textId="77777777">
        <w:tc>
          <w:tcPr>
            <w:tcW w:w="7650" w:type="dxa"/>
          </w:tcPr>
          <w:p w14:paraId="312ACD1B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val="en-US"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3. Czy przyjmuje Pani/Pan leki wpływające na krzepliwość krwi (np.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Aspiryna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Acard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Polocard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Pradaxa, Plavix, Xarelto, Eliquis,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Lixana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Blilique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Acenokumarol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Syncumar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Warfin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 xml:space="preserve"> </w:t>
            </w:r>
            <w:proofErr w:type="spellStart"/>
            <w:r w:rsidRPr="002A7652">
              <w:rPr>
                <w:rFonts w:asciiTheme="minorHAnsi" w:hAnsiTheme="minorHAnsi" w:cstheme="minorHAnsi"/>
                <w:lang w:val="en-US" w:eastAsia="pl-PL"/>
              </w:rPr>
              <w:t>itp</w:t>
            </w:r>
            <w:proofErr w:type="spellEnd"/>
            <w:r w:rsidRPr="002A7652">
              <w:rPr>
                <w:rFonts w:asciiTheme="minorHAnsi" w:hAnsiTheme="minorHAnsi" w:cstheme="minorHAnsi"/>
                <w:lang w:val="en-US" w:eastAsia="pl-PL"/>
              </w:rPr>
              <w:t>.)</w:t>
            </w:r>
          </w:p>
          <w:p w14:paraId="181B64E9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nazwa ................................................................................................................ </w:t>
            </w:r>
          </w:p>
          <w:p w14:paraId="6DFB0E24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  <w:p w14:paraId="535A7091" w14:textId="54D719EA" w:rsidR="00FF7306" w:rsidRPr="002A7652" w:rsidRDefault="00FF7306" w:rsidP="002A7652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Kiedy została przyjęta ostatnia dawka?............................................................</w:t>
            </w:r>
          </w:p>
          <w:p w14:paraId="4F9D3D52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  <w:p w14:paraId="5E465A0A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Ostatni wynik INR z dnia……….…………….................wynosił……………</w:t>
            </w:r>
          </w:p>
        </w:tc>
        <w:tc>
          <w:tcPr>
            <w:tcW w:w="2126" w:type="dxa"/>
          </w:tcPr>
          <w:p w14:paraId="4BF91703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2DF49EB7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</w:tc>
      </w:tr>
      <w:tr w:rsidR="00FF7306" w:rsidRPr="002A7652" w14:paraId="2698A098" w14:textId="77777777">
        <w:trPr>
          <w:trHeight w:val="409"/>
        </w:trPr>
        <w:tc>
          <w:tcPr>
            <w:tcW w:w="7650" w:type="dxa"/>
          </w:tcPr>
          <w:p w14:paraId="5AA5EA4F" w14:textId="5B09FF52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4. Czy choruje Pani/Pan na oczy (jaskra)? </w:t>
            </w:r>
          </w:p>
        </w:tc>
        <w:tc>
          <w:tcPr>
            <w:tcW w:w="2126" w:type="dxa"/>
          </w:tcPr>
          <w:p w14:paraId="5CD2EEB8" w14:textId="772E8FA1" w:rsidR="00FF7306" w:rsidRPr="002A7652" w:rsidRDefault="002A7652" w:rsidP="002A7652">
            <w:pPr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       </w:t>
            </w:r>
            <w:r w:rsidR="00FF7306"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231CE562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  <w:tr w:rsidR="00FF7306" w:rsidRPr="002A7652" w14:paraId="11FCD7BD" w14:textId="77777777" w:rsidTr="002A7652">
        <w:trPr>
          <w:trHeight w:val="861"/>
        </w:trPr>
        <w:tc>
          <w:tcPr>
            <w:tcW w:w="7650" w:type="dxa"/>
          </w:tcPr>
          <w:p w14:paraId="48559F57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5. Czy przyjmowała Pani/Pan w ostatnich 4 tygodniach antybiotyki </w:t>
            </w:r>
            <w:r w:rsidRPr="002A7652">
              <w:rPr>
                <w:rFonts w:asciiTheme="minorHAnsi" w:hAnsiTheme="minorHAnsi" w:cstheme="minorHAnsi"/>
                <w:lang w:eastAsia="pl-PL"/>
              </w:rPr>
              <w:br/>
              <w:t xml:space="preserve">lub w ciągu ostatnich 2 tygodni inhibitory pompy protonowej (np.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Polprazol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Helicid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Controloc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Nolpaza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Zulbex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Lanzul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, </w:t>
            </w:r>
            <w:proofErr w:type="spellStart"/>
            <w:r w:rsidRPr="002A7652">
              <w:rPr>
                <w:rFonts w:asciiTheme="minorHAnsi" w:hAnsiTheme="minorHAnsi" w:cstheme="minorHAnsi"/>
                <w:lang w:eastAsia="pl-PL"/>
              </w:rPr>
              <w:t>Dexilant</w:t>
            </w:r>
            <w:proofErr w:type="spellEnd"/>
            <w:r w:rsidRPr="002A7652">
              <w:rPr>
                <w:rFonts w:asciiTheme="minorHAnsi" w:hAnsiTheme="minorHAnsi" w:cstheme="minorHAnsi"/>
                <w:lang w:eastAsia="pl-PL"/>
              </w:rPr>
              <w:t xml:space="preserve"> itp.) ?</w:t>
            </w:r>
          </w:p>
          <w:p w14:paraId="17CEA852" w14:textId="77777777" w:rsidR="00FF7306" w:rsidRPr="002A7652" w:rsidRDefault="00FF7306">
            <w:pPr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26" w:type="dxa"/>
          </w:tcPr>
          <w:p w14:paraId="6E1C11DA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  <w:p w14:paraId="45E5BDA6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2A7652">
              <w:rPr>
                <w:rFonts w:asciiTheme="minorHAnsi" w:hAnsiTheme="minorHAnsi" w:cstheme="minorHAnsi"/>
                <w:b/>
                <w:bCs/>
                <w:lang w:eastAsia="pl-PL"/>
              </w:rPr>
              <w:t>TAK      NIE</w:t>
            </w:r>
          </w:p>
          <w:p w14:paraId="19A9610C" w14:textId="77777777" w:rsidR="00FF7306" w:rsidRPr="002A7652" w:rsidRDefault="00FF7306">
            <w:pPr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</w:p>
        </w:tc>
      </w:tr>
    </w:tbl>
    <w:p w14:paraId="2BED20FD" w14:textId="77777777" w:rsidR="00FF7306" w:rsidRPr="002A7652" w:rsidRDefault="00FF7306" w:rsidP="002A7652">
      <w:pPr>
        <w:rPr>
          <w:rFonts w:asciiTheme="minorHAnsi" w:hAnsiTheme="minorHAnsi" w:cstheme="minorHAnsi"/>
          <w:b/>
          <w:bCs/>
        </w:rPr>
      </w:pPr>
    </w:p>
    <w:p w14:paraId="700A9492" w14:textId="2F8910F8" w:rsidR="00FF7306" w:rsidRPr="002A7652" w:rsidRDefault="00FF7306" w:rsidP="002A7652">
      <w:pPr>
        <w:jc w:val="center"/>
        <w:rPr>
          <w:rFonts w:asciiTheme="minorHAnsi" w:hAnsiTheme="minorHAnsi" w:cstheme="minorHAnsi"/>
          <w:b/>
          <w:bCs/>
          <w:lang w:eastAsia="pl-PL"/>
        </w:rPr>
      </w:pPr>
      <w:r w:rsidRPr="002A7652">
        <w:rPr>
          <w:rFonts w:asciiTheme="minorHAnsi" w:hAnsiTheme="minorHAnsi" w:cstheme="minorHAnsi"/>
          <w:b/>
          <w:bCs/>
          <w:lang w:eastAsia="pl-PL"/>
        </w:rPr>
        <w:t>Zgoda na badanie</w:t>
      </w:r>
    </w:p>
    <w:p w14:paraId="55DFC2AF" w14:textId="17EA8637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</w:rPr>
        <w:t>Oświadczam, że zapoznałem się z powyższymi informacjami oraz miałem możliwość wyjaśnienia swoich wątpliwości. Świadomy istoty badania wyrażam zgodę na wykonanie proponowanego badania - gastroskopii</w:t>
      </w:r>
      <w:r w:rsidRPr="002A7652">
        <w:rPr>
          <w:rFonts w:asciiTheme="minorHAnsi" w:hAnsiTheme="minorHAnsi" w:cstheme="minorHAnsi"/>
          <w:lang w:eastAsia="pl-PL"/>
        </w:rPr>
        <w:t>, jak również na ewentualne konieczne w tym przypadku zabiegi dodatkowe.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50E4E97D" w14:textId="77777777" w:rsidTr="002A7652">
        <w:trPr>
          <w:trHeight w:val="464"/>
        </w:trPr>
        <w:tc>
          <w:tcPr>
            <w:tcW w:w="4673" w:type="dxa"/>
          </w:tcPr>
          <w:p w14:paraId="043C905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227A082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3E96F8D6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40D5069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476A37A1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673357D8" w14:textId="77777777">
        <w:tc>
          <w:tcPr>
            <w:tcW w:w="4673" w:type="dxa"/>
            <w:tcBorders>
              <w:left w:val="nil"/>
              <w:bottom w:val="nil"/>
              <w:right w:val="nil"/>
            </w:tcBorders>
          </w:tcPr>
          <w:p w14:paraId="78DE3D9E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 xml:space="preserve">Nazwisko i imię                                                    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00EED51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6572264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4E8BBE04" w14:textId="77777777" w:rsidR="002A7652" w:rsidRDefault="002A7652">
      <w:pPr>
        <w:jc w:val="both"/>
        <w:rPr>
          <w:rFonts w:asciiTheme="minorHAnsi" w:hAnsiTheme="minorHAnsi" w:cstheme="minorHAnsi"/>
          <w:lang w:eastAsia="pl-PL"/>
        </w:rPr>
      </w:pPr>
    </w:p>
    <w:p w14:paraId="5D76A016" w14:textId="2994DA69" w:rsidR="00FF7306" w:rsidRPr="002A7652" w:rsidRDefault="00FF7306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t xml:space="preserve">Wyrażam świadomą zgodę na pobranie wycinków na test </w:t>
      </w:r>
      <w:proofErr w:type="spellStart"/>
      <w:r w:rsidRPr="002A7652">
        <w:rPr>
          <w:rFonts w:asciiTheme="minorHAnsi" w:hAnsiTheme="minorHAnsi" w:cstheme="minorHAnsi"/>
          <w:lang w:eastAsia="pl-PL"/>
        </w:rPr>
        <w:t>ureazowy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służący do wykrywania </w:t>
      </w:r>
      <w:proofErr w:type="spellStart"/>
      <w:r w:rsidRPr="002A7652">
        <w:rPr>
          <w:rFonts w:asciiTheme="minorHAnsi" w:hAnsiTheme="minorHAnsi" w:cstheme="minorHAnsi"/>
          <w:lang w:eastAsia="pl-PL"/>
        </w:rPr>
        <w:t>Helicobacter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</w:t>
      </w:r>
      <w:proofErr w:type="spellStart"/>
      <w:r w:rsidRPr="002A7652">
        <w:rPr>
          <w:rFonts w:asciiTheme="minorHAnsi" w:hAnsiTheme="minorHAnsi" w:cstheme="minorHAnsi"/>
          <w:lang w:eastAsia="pl-PL"/>
        </w:rPr>
        <w:t>pylori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 oraz wycinków do badania histopatologicznego jeżeli będzie to konieczne lub wskazane ze względów medycznych.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7700FB56" w14:textId="77777777" w:rsidTr="002A7652">
        <w:trPr>
          <w:trHeight w:val="658"/>
        </w:trPr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2AE84C20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2CBD4330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73C760ED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42DE51C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0AA89A47" w14:textId="77777777" w:rsidR="00FF7306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65F4AF96" w14:textId="6205916B" w:rsidR="002A7652" w:rsidRPr="002A7652" w:rsidRDefault="002A7652" w:rsidP="002A7652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0A4E4761" w14:textId="77777777" w:rsidTr="002A7652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BB6F70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352F607F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7595AE57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3BC54AC5" w14:textId="77777777" w:rsidR="002A7652" w:rsidRDefault="002A7652" w:rsidP="002A7652">
      <w:pPr>
        <w:jc w:val="both"/>
        <w:rPr>
          <w:rFonts w:asciiTheme="minorHAnsi" w:hAnsiTheme="minorHAnsi" w:cstheme="minorHAnsi"/>
          <w:lang w:eastAsia="pl-PL"/>
        </w:rPr>
      </w:pPr>
    </w:p>
    <w:p w14:paraId="4446D746" w14:textId="7A9B8835" w:rsidR="00FF7306" w:rsidRPr="002A7652" w:rsidRDefault="00FF7306" w:rsidP="002A7652">
      <w:pPr>
        <w:jc w:val="both"/>
        <w:rPr>
          <w:rFonts w:asciiTheme="minorHAnsi" w:hAnsiTheme="minorHAnsi" w:cstheme="minorHAnsi"/>
          <w:lang w:eastAsia="pl-PL"/>
        </w:rPr>
      </w:pPr>
      <w:r w:rsidRPr="002A7652">
        <w:rPr>
          <w:rFonts w:asciiTheme="minorHAnsi" w:hAnsiTheme="minorHAnsi" w:cstheme="minorHAnsi"/>
          <w:lang w:eastAsia="pl-PL"/>
        </w:rPr>
        <w:t>Wyrażam również zgodę na ewentualne znieczulenie (</w:t>
      </w:r>
      <w:proofErr w:type="spellStart"/>
      <w:r w:rsidRPr="002A7652">
        <w:rPr>
          <w:rFonts w:asciiTheme="minorHAnsi" w:hAnsiTheme="minorHAnsi" w:cstheme="minorHAnsi"/>
          <w:lang w:eastAsia="pl-PL"/>
        </w:rPr>
        <w:t>analogosedacje</w:t>
      </w:r>
      <w:proofErr w:type="spellEnd"/>
      <w:r w:rsidRPr="002A7652">
        <w:rPr>
          <w:rFonts w:asciiTheme="minorHAnsi" w:hAnsiTheme="minorHAnsi" w:cstheme="minorHAnsi"/>
          <w:lang w:eastAsia="pl-PL"/>
        </w:rPr>
        <w:t xml:space="preserve">) lekami podanymi dożylnie lub wziewnie w celu zmniejszenia uciążliwości badania endoskopowego.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3"/>
        <w:gridCol w:w="1985"/>
        <w:gridCol w:w="3072"/>
      </w:tblGrid>
      <w:tr w:rsidR="00FF7306" w:rsidRPr="002A7652" w14:paraId="7B88E146" w14:textId="77777777">
        <w:tc>
          <w:tcPr>
            <w:tcW w:w="4673" w:type="dxa"/>
            <w:tcBorders>
              <w:top w:val="nil"/>
              <w:left w:val="nil"/>
              <w:bottom w:val="nil"/>
            </w:tcBorders>
          </w:tcPr>
          <w:p w14:paraId="6CBD67B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394044F9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  <w:p w14:paraId="71A2E38A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</w:tcPr>
          <w:p w14:paraId="1100123B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3072" w:type="dxa"/>
          </w:tcPr>
          <w:p w14:paraId="4AC826E4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FF7306" w:rsidRPr="002A7652" w14:paraId="35759026" w14:textId="77777777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4D37429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14:paraId="5C01DCE3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Data</w:t>
            </w:r>
          </w:p>
        </w:tc>
        <w:tc>
          <w:tcPr>
            <w:tcW w:w="3072" w:type="dxa"/>
            <w:tcBorders>
              <w:left w:val="nil"/>
              <w:bottom w:val="nil"/>
              <w:right w:val="nil"/>
            </w:tcBorders>
          </w:tcPr>
          <w:p w14:paraId="4E83E859" w14:textId="77777777" w:rsidR="00FF7306" w:rsidRPr="002A7652" w:rsidRDefault="00FF7306">
            <w:pPr>
              <w:rPr>
                <w:rFonts w:asciiTheme="minorHAnsi" w:hAnsiTheme="minorHAnsi" w:cstheme="minorHAnsi"/>
                <w:lang w:eastAsia="pl-PL"/>
              </w:rPr>
            </w:pPr>
            <w:r w:rsidRPr="002A7652">
              <w:rPr>
                <w:rFonts w:asciiTheme="minorHAnsi" w:hAnsiTheme="minorHAnsi" w:cstheme="minorHAnsi"/>
                <w:lang w:eastAsia="pl-PL"/>
              </w:rPr>
              <w:t>Podpis</w:t>
            </w:r>
          </w:p>
        </w:tc>
      </w:tr>
    </w:tbl>
    <w:p w14:paraId="7A27D845" w14:textId="77777777" w:rsidR="00FF7306" w:rsidRPr="002A7652" w:rsidRDefault="00FF7306">
      <w:pPr>
        <w:jc w:val="both"/>
        <w:rPr>
          <w:rFonts w:asciiTheme="minorHAnsi" w:hAnsiTheme="minorHAnsi" w:cstheme="minorHAnsi"/>
        </w:rPr>
      </w:pPr>
    </w:p>
    <w:sectPr w:rsidR="00FF7306" w:rsidRPr="002A7652" w:rsidSect="00FF7306">
      <w:pgSz w:w="11900" w:h="16840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B5BD4"/>
    <w:multiLevelType w:val="hybridMultilevel"/>
    <w:tmpl w:val="1450A6EE"/>
    <w:lvl w:ilvl="0" w:tplc="38F0BB6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/>
      </w:rPr>
    </w:lvl>
  </w:abstractNum>
  <w:abstractNum w:abstractNumId="1" w15:restartNumberingAfterBreak="0">
    <w:nsid w:val="52A07ECB"/>
    <w:multiLevelType w:val="hybridMultilevel"/>
    <w:tmpl w:val="196A77F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2" w15:restartNumberingAfterBreak="0">
    <w:nsid w:val="6BC7773C"/>
    <w:multiLevelType w:val="hybridMultilevel"/>
    <w:tmpl w:val="E5B4BBD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num w:numId="1" w16cid:durableId="181893839">
    <w:abstractNumId w:val="2"/>
  </w:num>
  <w:num w:numId="2" w16cid:durableId="2144154158">
    <w:abstractNumId w:val="0"/>
  </w:num>
  <w:num w:numId="3" w16cid:durableId="1029255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306"/>
    <w:rsid w:val="002A7652"/>
    <w:rsid w:val="00542BBF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303356B"/>
  <w15:docId w15:val="{EDDD7696-4621-504D-9283-5BAE79FE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Calibri"/>
      <w:sz w:val="24"/>
      <w:szCs w:val="24"/>
      <w:lang w:eastAsia="en-US"/>
    </w:rPr>
  </w:style>
  <w:style w:type="paragraph" w:styleId="Nagwek2">
    <w:name w:val="heading 2"/>
    <w:basedOn w:val="Normalny"/>
    <w:link w:val="Nagwek2Znak"/>
    <w:uiPriority w:val="9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Pr>
      <w:rFonts w:ascii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auto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auto"/>
      <w:u w:val="single"/>
    </w:rPr>
  </w:style>
  <w:style w:type="paragraph" w:styleId="Akapitzlist">
    <w:name w:val="List Paragraph"/>
    <w:basedOn w:val="Normalny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edicenter.com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4420</Characters>
  <Application>Microsoft Office Word</Application>
  <DocSecurity>0</DocSecurity>
  <Lines>36</Lines>
  <Paragraphs>10</Paragraphs>
  <ScaleCrop>false</ScaleCrop>
  <Company>tajna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Natalia Ryszawa-Mrózek</cp:lastModifiedBy>
  <cp:revision>2</cp:revision>
  <cp:lastPrinted>2021-11-03T20:28:00Z</cp:lastPrinted>
  <dcterms:created xsi:type="dcterms:W3CDTF">2023-01-11T16:19:00Z</dcterms:created>
  <dcterms:modified xsi:type="dcterms:W3CDTF">2023-01-11T16:19:00Z</dcterms:modified>
</cp:coreProperties>
</file>